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§287. PAYMENT OF 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